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1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к Договору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об оказании платных медицинских услуг</w:t>
      </w:r>
    </w:p>
    <w:p>
      <w:pPr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г. Екатеринбург                                                                                                    </w:t>
      </w:r>
    </w:p>
    <w:p>
      <w:pPr>
        <w:spacing w:before="12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120" w:after="12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ПОЛОЖЕНИЕ О ГАРАНТИЙНЫХ ОБЯЗАТЕЛЬСТВАХ ИСПОЛНИТЕЛЯ ПО ДОГОВОРУ ОКАЗАНИЯ ПЛАТНЫХ МЕДИЦИНСКИХ УСЛУГ (далее по тексту 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Положение)</w:t>
      </w:r>
    </w:p>
    <w:p>
      <w:pPr>
        <w:spacing w:before="120" w:after="120" w:line="240"/>
        <w:ind w:right="0" w:left="144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8"/>
        </w:numPr>
        <w:spacing w:before="120" w:after="120" w:line="240"/>
        <w:ind w:right="0" w:left="144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Предмет Положения </w:t>
      </w:r>
    </w:p>
    <w:p>
      <w:pPr>
        <w:spacing w:before="120" w:after="12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10"/>
        </w:numPr>
        <w:tabs>
          <w:tab w:val="left" w:pos="0" w:leader="none"/>
          <w:tab w:val="left" w:pos="709" w:leader="none"/>
        </w:tabs>
        <w:spacing w:before="80" w:after="8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u w:val="single"/>
          <w:shd w:fill="auto" w:val="clear"/>
        </w:rPr>
        <w:t xml:space="preserve">Исполнитель гарантирует Пациенту:</w:t>
      </w:r>
    </w:p>
    <w:p>
      <w:pPr>
        <w:numPr>
          <w:ilvl w:val="0"/>
          <w:numId w:val="10"/>
        </w:numPr>
        <w:tabs>
          <w:tab w:val="left" w:pos="709" w:leader="none"/>
        </w:tabs>
        <w:spacing w:before="80" w:after="8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Использование методов профилактики, диагностики, лечения, медицинских технологий, лекарственных средств, иммунобиологических препаратов и дезинфекционных средств, разрешенных к применению в установленном действующим законодательством порядке;</w:t>
      </w:r>
    </w:p>
    <w:p>
      <w:pPr>
        <w:numPr>
          <w:ilvl w:val="0"/>
          <w:numId w:val="10"/>
        </w:numPr>
        <w:tabs>
          <w:tab w:val="left" w:pos="709" w:leader="none"/>
        </w:tabs>
        <w:spacing w:before="80" w:after="8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Безопасность оказываемой медицинской услуги; </w:t>
      </w:r>
    </w:p>
    <w:p>
      <w:pPr>
        <w:numPr>
          <w:ilvl w:val="0"/>
          <w:numId w:val="10"/>
        </w:numPr>
        <w:tabs>
          <w:tab w:val="left" w:pos="709" w:leader="none"/>
        </w:tabs>
        <w:spacing w:before="80" w:after="8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Соответствие санитарным нормам и правилам, требованиям лечебно-охранительного и противоэпидемического режима, требованиям пожарной, радиационной, лекарственной, экологической и иной безопасности, а также иным требованиям, определяющим условия оказания медицинской помощи;</w:t>
      </w:r>
    </w:p>
    <w:p>
      <w:pPr>
        <w:widowControl w:val="false"/>
        <w:numPr>
          <w:ilvl w:val="0"/>
          <w:numId w:val="10"/>
        </w:numPr>
        <w:tabs>
          <w:tab w:val="left" w:pos="709" w:leader="none"/>
        </w:tabs>
        <w:spacing w:before="80" w:after="8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Надлежащий уровень квалификации медицинских работников, который обеспечивается за счет непрерывной системы их подготовки, включающей подготовку в медицинском образовательном учреждении, последипломное образование в медицинских образовательных организациях, своевременное повышение квалификации;</w:t>
      </w:r>
    </w:p>
    <w:p>
      <w:pPr>
        <w:numPr>
          <w:ilvl w:val="0"/>
          <w:numId w:val="10"/>
        </w:numPr>
        <w:tabs>
          <w:tab w:val="left" w:pos="709" w:leader="none"/>
        </w:tabs>
        <w:spacing w:before="80" w:after="80" w:line="240"/>
        <w:ind w:right="0" w:left="709" w:hanging="709"/>
        <w:jc w:val="both"/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Более подробно все обязанности Исполнителя по отношению к Пациенту указаны в Договоре </w:t>
      </w:r>
      <w:r>
        <w:rPr>
          <w:rFonts w:ascii="Segoe UI Symbol" w:hAnsi="Segoe UI Symbol" w:cs="Segoe UI Symbol" w:eastAsia="Segoe UI Symbol"/>
          <w:color w:val="auto"/>
          <w:spacing w:val="-2"/>
          <w:position w:val="0"/>
          <w:sz w:val="16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16"/>
          <w:shd w:fill="auto" w:val="clear"/>
        </w:rPr>
        <w:t xml:space="preserve">об оказании платных медицинских услуг от . (далее по тексту - Договор).</w:t>
      </w:r>
    </w:p>
    <w:p>
      <w:pPr>
        <w:widowControl w:val="false"/>
        <w:numPr>
          <w:ilvl w:val="0"/>
          <w:numId w:val="10"/>
        </w:numPr>
        <w:tabs>
          <w:tab w:val="left" w:pos="0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Стороны согласны с тем, что достижение положительного результата оказания медицинской услуги зависит не только от совокупности необходимых, достаточных, добросовестных, целесообразных и профессиональных действий Исполнителя, но и от встречных со стороны Пациента действий, направленных на содействие Исполнителю в оказании качественной медицинской услуги в соответствии  с п. 4.2.4 Договора. </w:t>
      </w:r>
    </w:p>
    <w:p>
      <w:pPr>
        <w:widowControl w:val="false"/>
        <w:tabs>
          <w:tab w:val="left" w:pos="0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Так как результат оказания медицинской услуги почти всегда носит нематериальный характер и выражается в достижении определенног0 состояния стоматологического здоровья, и так как действия биологических законов и процессов, затрагиваемых при медицинском вмешательстве, не подвластны ни абсолютному контролю, ни  воле со стор0ны человека, то Исполнитель, по независящим как от него, так и от Пациента причинам, не может гарантировать только лишь положительный результат оказанной медицинской услуги. Даже при надлежащем выполнении обеими сторонами своих обязательств по договору, применении самых результативных и зарекомендовавших себя достижений современной медицинской науки, результат оказания медицинской услуги не является на 100% прогнозируемым и может выражаться как в восстановлении, улучшении, так и в отсутствии каких-либо изменений и даже в  ухудшении патологических процессов. </w:t>
      </w:r>
    </w:p>
    <w:p>
      <w:pPr>
        <w:numPr>
          <w:ilvl w:val="0"/>
          <w:numId w:val="16"/>
        </w:numPr>
        <w:tabs>
          <w:tab w:val="left" w:pos="0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Сроки гарантии и сроки службы могут относиться лишь применительно к материальным (овеществленным) результатам медицинской помощи, а именно: имплантаты, ортопедические и ортодонтические конструкции, пломбы и реставрации (совокупность  изделий медицинского назначения, используемых для устранения эстетических и функциональных дефектов зуба).</w:t>
      </w:r>
    </w:p>
    <w:p>
      <w:pPr>
        <w:numPr>
          <w:ilvl w:val="0"/>
          <w:numId w:val="16"/>
        </w:numPr>
        <w:tabs>
          <w:tab w:val="left" w:pos="0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Гарантийные сроки на такие изделия, используемые при оказании медицинской помощи, указаны в разделе 5 настоящего Положения и обозначают срок, в течение которого изготовитель ручается за функциональные и качественные свойства изделия, т.е. отсутствие его дефектов, при условии соблюдения Пациентом правил пользования таким изделием. Эти сроки не учитывают взаимодействие с тканями человека, а также непредсказуемую реакцию человеческого организма на то или иное медицинское вмешательство, поэтому гарантийные  сроки могут быть приняты лишь как ориентировочные, условные. Исполнителем приведены данные, взятые из специальной литературы и  общепринятой стоматологической практики.</w:t>
      </w:r>
    </w:p>
    <w:p>
      <w:pPr>
        <w:numPr>
          <w:ilvl w:val="0"/>
          <w:numId w:val="16"/>
        </w:numPr>
        <w:tabs>
          <w:tab w:val="left" w:pos="0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В подавляющем большинстве случаев фактические сроки службы превышают сроки гарантии, но решающим фактором   является надлежащее выполнение Пациентом правил и условий эффективного и безопасного пользования результатами оказанной ему медицинской услуги. Такая информация выдается Пациенту в виде рекомендаций установленного образца и включает в себя:</w:t>
      </w:r>
    </w:p>
    <w:p>
      <w:pPr>
        <w:numPr>
          <w:ilvl w:val="0"/>
          <w:numId w:val="16"/>
        </w:numPr>
        <w:tabs>
          <w:tab w:val="left" w:pos="0" w:leader="none"/>
          <w:tab w:val="left" w:pos="426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перечень надлежащих действий Пациента как до, так и после медицинского вмешательства;</w:t>
      </w:r>
    </w:p>
    <w:p>
      <w:pPr>
        <w:numPr>
          <w:ilvl w:val="0"/>
          <w:numId w:val="16"/>
        </w:numPr>
        <w:tabs>
          <w:tab w:val="left" w:pos="0" w:leader="none"/>
          <w:tab w:val="left" w:pos="426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медикаментозные и иные назначения Исполнителя;</w:t>
      </w:r>
    </w:p>
    <w:p>
      <w:pPr>
        <w:numPr>
          <w:ilvl w:val="0"/>
          <w:numId w:val="16"/>
        </w:numPr>
        <w:tabs>
          <w:tab w:val="left" w:pos="0" w:leader="none"/>
          <w:tab w:val="left" w:pos="426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частота прихода на контрольно-профилактические осмотры и прочее.</w:t>
      </w:r>
    </w:p>
    <w:p>
      <w:pPr>
        <w:tabs>
          <w:tab w:val="left" w:pos="426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120" w:after="120" w:line="240"/>
        <w:ind w:right="-1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Исполнителем приведены гарантийные сроки изделий, используемых при оказании следующих видов медицинских услуг: терапевтическая, ортопедическая, имплантологическая и ортодонтическая стоматология. Данные сроки относятся к  пациентам, у которых на момент начала оказания медицинских услуг имеется не более 12 кариозно-пораженных,  удаленных зубов (КПУ) при медленно текущем процессе.  При КПУ зубов 13-18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сроки снижаются на 30%. При КПУ&gt;18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сроки снижаются на 50%.</w:t>
      </w:r>
    </w:p>
    <w:p>
      <w:pPr>
        <w:spacing w:before="120" w:after="120" w:line="240"/>
        <w:ind w:right="-1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567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21"/>
        </w:numPr>
        <w:spacing w:before="120" w:after="120" w:line="240"/>
        <w:ind w:right="0" w:left="360" w:hanging="36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u w:val="single"/>
          <w:shd w:fill="auto" w:val="clear"/>
        </w:rPr>
        <w:t xml:space="preserve">Терапевтическая стоматология: </w:t>
      </w:r>
    </w:p>
    <w:p>
      <w:pPr>
        <w:spacing w:before="120" w:after="120" w:line="240"/>
        <w:ind w:right="0" w:left="1080" w:hanging="108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Пломбы и иные реставрационные материалы:</w:t>
      </w:r>
    </w:p>
    <w:p>
      <w:pPr>
        <w:numPr>
          <w:ilvl w:val="0"/>
          <w:numId w:val="23"/>
        </w:numPr>
        <w:spacing w:before="120" w:after="120" w:line="240"/>
        <w:ind w:right="0" w:left="714" w:hanging="357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I, II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классы по Блэку*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1,5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года</w:t>
      </w:r>
    </w:p>
    <w:p>
      <w:pPr>
        <w:numPr>
          <w:ilvl w:val="0"/>
          <w:numId w:val="23"/>
        </w:numPr>
        <w:spacing w:before="120" w:after="120" w:line="240"/>
        <w:ind w:right="0" w:left="714" w:hanging="357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III, IV, V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классы по Блэку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1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год</w:t>
      </w:r>
    </w:p>
    <w:p>
      <w:pPr>
        <w:spacing w:before="120" w:after="12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*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Модифицированная классификация кариозных поражений по локализации (I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 V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по степени глубины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от    меньшего  к большему).</w:t>
      </w:r>
    </w:p>
    <w:p>
      <w:pPr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При неудовлетворительной гигиене полости рта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сроки уменьшаются на 70%.</w:t>
      </w:r>
    </w:p>
    <w:p>
      <w:pPr>
        <w:numPr>
          <w:ilvl w:val="0"/>
          <w:numId w:val="26"/>
        </w:numPr>
        <w:spacing w:before="120" w:after="120" w:line="240"/>
        <w:ind w:right="0" w:left="360" w:hanging="36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u w:val="single"/>
          <w:shd w:fill="auto" w:val="clear"/>
        </w:rPr>
        <w:t xml:space="preserve">Ортопедическая  стоматология: </w:t>
      </w:r>
    </w:p>
    <w:p>
      <w:pPr>
        <w:numPr>
          <w:ilvl w:val="0"/>
          <w:numId w:val="26"/>
        </w:numPr>
        <w:spacing w:before="120" w:after="12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Виниры (люминиры), вкладки Инлей, Онлей, Оверлей и Пинлей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 1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FFFFFF" w:val="clear"/>
        </w:rPr>
        <w:t xml:space="preserve">год</w:t>
      </w:r>
    </w:p>
    <w:p>
      <w:pPr>
        <w:numPr>
          <w:ilvl w:val="0"/>
          <w:numId w:val="26"/>
        </w:numPr>
        <w:spacing w:before="120" w:after="12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Несъемные мостовидные протезы и коронки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2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года.</w:t>
      </w:r>
    </w:p>
    <w:p>
      <w:pPr>
        <w:numPr>
          <w:ilvl w:val="0"/>
          <w:numId w:val="26"/>
        </w:numPr>
        <w:spacing w:before="120" w:after="12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Съемные протезы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1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год.</w:t>
      </w:r>
    </w:p>
    <w:p>
      <w:pPr>
        <w:numPr>
          <w:ilvl w:val="0"/>
          <w:numId w:val="26"/>
        </w:numPr>
        <w:spacing w:before="120" w:after="12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На замковые элементы съемных протезов:</w:t>
      </w:r>
    </w:p>
    <w:p>
      <w:pPr>
        <w:spacing w:before="12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-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На металлические части 1 год</w:t>
      </w:r>
    </w:p>
    <w:p>
      <w:pPr>
        <w:spacing w:before="12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-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На пластмассовые части 6 мес.</w:t>
      </w:r>
    </w:p>
    <w:p>
      <w:pPr>
        <w:numPr>
          <w:ilvl w:val="0"/>
          <w:numId w:val="29"/>
        </w:numPr>
        <w:spacing w:before="120" w:after="12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Условно съемные конструкции при протезир0вании на имплантатах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1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год. </w:t>
      </w:r>
    </w:p>
    <w:p>
      <w:pPr>
        <w:numPr>
          <w:ilvl w:val="0"/>
          <w:numId w:val="29"/>
        </w:numPr>
        <w:spacing w:before="120" w:after="12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На каркасы металлокерамических или цельнолитых конструкций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10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лет.</w:t>
      </w:r>
    </w:p>
    <w:p>
      <w:pPr>
        <w:spacing w:before="120" w:after="120" w:line="240"/>
        <w:ind w:right="0" w:left="72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При неудовлетворительной гигиене полости рта сроки могут уменьшаться на 70%.</w:t>
      </w:r>
    </w:p>
    <w:p>
      <w:pPr>
        <w:numPr>
          <w:ilvl w:val="0"/>
          <w:numId w:val="32"/>
        </w:numPr>
        <w:spacing w:before="120" w:after="120" w:line="240"/>
        <w:ind w:right="0" w:left="360" w:hanging="36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u w:val="single"/>
          <w:shd w:fill="auto" w:val="clear"/>
        </w:rPr>
        <w:t xml:space="preserve">Имплантологическая стоматология</w:t>
      </w:r>
    </w:p>
    <w:p>
      <w:pPr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Имплантат (в зависимости от фирмы-производителя)  - от 3 до 5 лет. </w:t>
      </w:r>
    </w:p>
    <w:p>
      <w:pPr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В случае отторжения имплантата до начала протезирования, Исполнитель переустановит имплантат при возможности обеспечения безопасности оказываемой услуги и отсутствии медицинских противопоказаний. Если имплантат отторгается повторно, то Пациенту возвращаются расходы, понесенные Исполнителем на приобретение имплантата, равно как и в случае невозможности переустановить имплантат после первого отторжения или его отторжения после протезирования. В связи с этим будут необходимы  соответствующие изменения плана лечения.</w:t>
      </w:r>
    </w:p>
    <w:p>
      <w:pPr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Для реализации данной возможности Пациенту необходимо пройти осмотр и необходимые диагностические мероприятия у Исполнителя, а также предоставить ему сам имплантат.</w:t>
      </w:r>
    </w:p>
    <w:p>
      <w:pPr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При неудовлетворительной гигиене полости рта, невыполнении строгих гигиенических требований гарантийные сроки отсутствуют полностью.</w:t>
      </w:r>
    </w:p>
    <w:p>
      <w:pPr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numPr>
          <w:ilvl w:val="0"/>
          <w:numId w:val="34"/>
        </w:numPr>
        <w:spacing w:before="80" w:after="80" w:line="240"/>
        <w:ind w:right="0" w:left="709" w:hanging="72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u w:val="single"/>
          <w:shd w:fill="auto" w:val="clear"/>
        </w:rPr>
        <w:t xml:space="preserve">Гарантийные сроки  не распространяются:</w:t>
      </w:r>
    </w:p>
    <w:p>
      <w:pPr>
        <w:numPr>
          <w:ilvl w:val="0"/>
          <w:numId w:val="34"/>
        </w:numPr>
        <w:tabs>
          <w:tab w:val="left" w:pos="709" w:leader="none"/>
        </w:tabs>
        <w:spacing w:before="80" w:after="8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На все ортопедические конструкции, кроме указанных в пункте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16"/>
          <w:shd w:fill="auto" w:val="clear"/>
        </w:rPr>
        <w:t xml:space="preserve">ортопедическая стоматология (раздел 5 В),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такие как  временные съемные и несъемные протезы, несъемные конструкции, выполненные из пластмассы, адгезивные и иные несъемные конструкции. Таковые конструкции рассматриваются как временные и не имеют гарантийных сроков. </w:t>
      </w:r>
    </w:p>
    <w:p>
      <w:pPr>
        <w:numPr>
          <w:ilvl w:val="0"/>
          <w:numId w:val="34"/>
        </w:numPr>
        <w:tabs>
          <w:tab w:val="left" w:pos="709" w:leader="none"/>
        </w:tabs>
        <w:spacing w:before="80" w:after="8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На флекс-дуги, адгезивные ленты и пр. материалы, применяемые при пародонтологическом шинировании зубов.</w:t>
      </w:r>
    </w:p>
    <w:p>
      <w:pPr>
        <w:numPr>
          <w:ilvl w:val="0"/>
          <w:numId w:val="34"/>
        </w:numPr>
        <w:tabs>
          <w:tab w:val="left" w:pos="709" w:leader="none"/>
        </w:tabs>
        <w:spacing w:before="80" w:after="8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На все виды зубных украшений, на крепежные элементы (винты, скобы), применяемые в хирургической стоматологии.</w:t>
      </w:r>
    </w:p>
    <w:p>
      <w:pPr>
        <w:numPr>
          <w:ilvl w:val="0"/>
          <w:numId w:val="34"/>
        </w:numPr>
        <w:tabs>
          <w:tab w:val="left" w:pos="709" w:leader="none"/>
        </w:tabs>
        <w:spacing w:before="80" w:after="8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При отказе пациента от гарантийных обязательств, при подписании им соответствующего добровольного информированного согласия.</w:t>
      </w:r>
    </w:p>
    <w:p>
      <w:pPr>
        <w:numPr>
          <w:ilvl w:val="0"/>
          <w:numId w:val="34"/>
        </w:numPr>
        <w:tabs>
          <w:tab w:val="left" w:pos="709" w:leader="none"/>
        </w:tabs>
        <w:spacing w:before="80" w:after="80" w:line="240"/>
        <w:ind w:right="0" w:left="709" w:hanging="709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Гарантия не распространяется на втулки (матрицы) замковых креплений и перебазировку съемных протезов.              </w:t>
      </w:r>
    </w:p>
    <w:p>
      <w:pPr>
        <w:numPr>
          <w:ilvl w:val="0"/>
          <w:numId w:val="34"/>
        </w:numPr>
        <w:tabs>
          <w:tab w:val="left" w:pos="0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Гарантийные сроки могут быть уменьшены или отсутствовать вовсе при наличии у Пациента определенных заболеваний организма, способных влиять на зубочелюстную систему (ревматические заболевания, сахарный диабет, онкологические заболевания, некоторые виды авитаминозов и многие другие). </w:t>
      </w:r>
    </w:p>
    <w:p>
      <w:pPr>
        <w:numPr>
          <w:ilvl w:val="0"/>
          <w:numId w:val="34"/>
        </w:numPr>
        <w:tabs>
          <w:tab w:val="left" w:pos="0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Гарантийные сроки не распространяются на все случаи внешнего воздействия на зубочелюстную систему, каковыми могут быть травмы, перекусывание особо твердых предметов, сильное химическое, термическое, радиационное воздействие и пр. Также гарантия прекращает свое действие при работе пациента на вредном производстве.</w:t>
      </w:r>
    </w:p>
    <w:p>
      <w:pPr>
        <w:numPr>
          <w:ilvl w:val="0"/>
          <w:numId w:val="34"/>
        </w:numPr>
        <w:tabs>
          <w:tab w:val="left" w:pos="0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Гарантийные сроки не распространяются при заболевании бруксизмом (скрежет зубами), даже если было проведено лечение этого заболевания.</w:t>
      </w:r>
    </w:p>
    <w:p>
      <w:pPr>
        <w:numPr>
          <w:ilvl w:val="0"/>
          <w:numId w:val="34"/>
        </w:numPr>
        <w:tabs>
          <w:tab w:val="left" w:pos="0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Исполнитель своевременно предоставляет  Пациенту в доступной для него форме необходимую и достоверную информацию о различных видах медицинских  вмешательств, обеспечивающую возможность их правильного выбора. Данная информация передается Пациенту в устной форме, а также фиксируется в добровольных информированных согласиях на медицинское вмешательство, которые отражают сведения о диагнозе и прогнозе заболевания, методах его лечения и связанном с ними риске, возможных альтернативных вариантах медицинского вмешательства, их последствиях и возможных результатах лечения. </w:t>
      </w:r>
    </w:p>
    <w:p>
      <w:pPr>
        <w:numPr>
          <w:ilvl w:val="0"/>
          <w:numId w:val="34"/>
        </w:numPr>
        <w:tabs>
          <w:tab w:val="left" w:pos="0" w:leader="none"/>
          <w:tab w:val="left" w:pos="709" w:leader="none"/>
        </w:tabs>
        <w:spacing w:before="120" w:after="12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В случае обоснованных претензий Пациента по поводу недостатков медицинской услуги он имеет все права, предусмотренные Законом  РФ от 07.02.1992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6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2300-1 «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О защите прав потребителей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»  (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далее по тексту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ЗоЗПП) и иными нормативными правовыми актами РФ. С ЗоЗПП можно ознакомиться на информационной доске Исполнителя.  </w:t>
      </w:r>
    </w:p>
    <w:p>
      <w:pPr>
        <w:spacing w:before="120" w:after="120" w:line="240"/>
        <w:ind w:right="0" w:left="36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Более подробно все права и обязанности  Пациента указаны в договоре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16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об оказании платных медицинских услуг </w:t>
      </w:r>
    </w:p>
    <w:p>
      <w:pPr>
        <w:numPr>
          <w:ilvl w:val="0"/>
          <w:numId w:val="38"/>
        </w:numPr>
        <w:spacing w:before="120" w:after="120" w:line="240"/>
        <w:ind w:right="0" w:left="360" w:hanging="36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Подписи Сторон</w:t>
      </w:r>
    </w:p>
    <w:p>
      <w:pPr>
        <w:tabs>
          <w:tab w:val="left" w:pos="4005" w:leader="none"/>
        </w:tabs>
        <w:spacing w:before="0" w:after="0" w:line="240"/>
        <w:ind w:right="884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                                      </w:t>
      </w:r>
    </w:p>
    <w:p>
      <w:pPr>
        <w:tabs>
          <w:tab w:val="left" w:pos="4005" w:leader="none"/>
        </w:tabs>
        <w:spacing w:before="0" w:after="0" w:line="240"/>
        <w:ind w:right="884" w:left="36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ИСПОЛНИТЕЛЬ:                                                                           ПАЦИЕНТ:                                                                                  </w:t>
      </w:r>
    </w:p>
    <w:p>
      <w:pPr>
        <w:tabs>
          <w:tab w:val="left" w:pos="4005" w:leader="none"/>
        </w:tabs>
        <w:spacing w:before="0" w:after="0" w:line="240"/>
        <w:ind w:right="884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ООО 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«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ИТА</w:t>
      </w: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»                                                            </w:t>
      </w:r>
    </w:p>
    <w:p>
      <w:pPr>
        <w:tabs>
          <w:tab w:val="left" w:pos="4005" w:leader="none"/>
        </w:tabs>
        <w:spacing w:before="0" w:after="0" w:line="240"/>
        <w:ind w:right="884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4005" w:leader="none"/>
        </w:tabs>
        <w:spacing w:before="0" w:after="0" w:line="240"/>
        <w:ind w:right="884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</w:t>
      </w:r>
    </w:p>
    <w:p>
      <w:pPr>
        <w:tabs>
          <w:tab w:val="left" w:pos="4005" w:leader="none"/>
        </w:tabs>
        <w:spacing w:before="0" w:after="0" w:line="240"/>
        <w:ind w:right="884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  <w:t xml:space="preserve">                   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       ____________________ (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подпись)                                          ____________________ (подпись)</w:t>
      </w:r>
    </w:p>
    <w:p>
      <w:pPr>
        <w:spacing w:before="0" w:after="0" w:line="240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     «___» ______________________20   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г.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«___» ______________________20   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г.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pacing w:before="120" w:after="12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М.П.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8">
    <w:abstractNumId w:val="54"/>
  </w:num>
  <w:num w:numId="10">
    <w:abstractNumId w:val="48"/>
  </w:num>
  <w:num w:numId="16">
    <w:abstractNumId w:val="42"/>
  </w:num>
  <w:num w:numId="21">
    <w:abstractNumId w:val="36"/>
  </w:num>
  <w:num w:numId="23">
    <w:abstractNumId w:val="30"/>
  </w:num>
  <w:num w:numId="26">
    <w:abstractNumId w:val="24"/>
  </w:num>
  <w:num w:numId="29">
    <w:abstractNumId w:val="18"/>
  </w:num>
  <w:num w:numId="32">
    <w:abstractNumId w:val="12"/>
  </w:num>
  <w:num w:numId="34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